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89</w:t>
      </w:r>
    </w:p>
    <w:p>
      <w:r>
        <w:t>Bundesgericht (BGE), 2013-10-23, FR</w:t>
      </w:r>
    </w:p>
    <w:p>
      <w:r>
        <w:rPr>
          <w:b/>
        </w:rPr>
        <w:t xml:space="preserve">Quelle: </w:t>
      </w:r>
      <w:r>
        <w:t>https://mcp.opencaselaw.ch/entscheid/bge_142 IV 89</w:t>
      </w:r>
    </w:p>
    <w:p>
      <w:r>
        <w:t>FR: ATF 142 IV 89</w:t>
      </w:r>
    </w:p>
    <w:p>
      <w:r>
        <w:t>IT: DTF 142 IV 89</w:t>
      </w:r>
    </w:p>
    <w:p>
      <w:pPr>
        <w:pStyle w:val="Heading2"/>
      </w:pPr>
      <w:r>
        <w:t>Regeste</w:t>
      </w:r>
    </w:p>
    <w:p>
      <w:r>
        <w:t>Regeste Art. 391 Abs. 2 StPO; Verbot der reformatio in peius. Verweigert die Rechtsmittelinstanz - im Gegensatz zur ersten Instanz - den bedingten Strafvollzug, ist das Verschlechterungsverbot verletzt, auch wenn die Dauer der Strafe gesamthaft kürzer ist (E. 2.1). Satz 2 von Art. 391 Abs. 2 StPO ermöglicht der Rechtsmittelinstanz Tatsachen, die der ersten Instanz noch nicht bekannt sein konnten, wie beispielsweise eine Verurteilung, bei der Prüfung der Legalprognose beim bedingten Strafvollzug zu berücksichtigen (E. 2.3).</w:t>
      </w:r>
    </w:p>
    <w:p>
      <w:pPr>
        <w:pStyle w:val="Heading2"/>
      </w:pPr>
      <w:r>
        <w:t>Erwägungen</w:t>
      </w:r>
    </w:p>
    <w:p>
      <w:r>
        <w:rPr>
          <w:b/>
        </w:rPr>
        <w:t>E. 2</w:t>
      </w:r>
    </w:p>
    <w:p>
      <w:r>
        <w:t>Le recourant reproche à l'autorité cantonale d'avoir violé l' art. 391 CPP en lui infligeant une peine de 30 mois fermes alors que celle prononcée en première instance, certes plus longue, était de 36 mois, mais dont seuls 18 mois étaient fermes. Conformément à l' art. 391 al. 2 CPP , la juridiction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rPr>
          <w:b/>
        </w:rPr>
        <w:t>E. 2.1</w:t>
      </w:r>
    </w:p>
    <w:p>
      <w:r>
        <w:t>Le but de cette disposition est de permettre au prévenu d'exercer son droit de recours sans craindre d'être puni plus sévèrement ( ATF 139 IV 282 consid. 2.4.3 p. 287 et les références citées). La perspective de se voir privé, même partiellement, du bénéfice du sursis accordé en première instance est de nature à dissuader le prévenu d'intenter un recours, la situation la plus favorable pour lui étant BGE 142 IV 89 S. 91 celle où la peine qu'il devra inévitablement purger, à savoir la partie ferme de celle-ci, est la moins longue. Par conséquent, le refus par l'autorité de recours d'un sursis accordé en première instance viole l'interdiction de la reformatio in pejus, même dans l'hypothèse où la durée totale de la peine est parallèlement réduite (voir arrêt 6B_156/2011 du 17 octobre 2011 consid. 2.5.2; RICHARD CALAME, in Commentaire romand, Code de procédure pénale suisse, 2011, n° 8 ad art. 391 CPP ; GILBERT KOLLY, Zum Verschlechterungsverbot im schweizerischen Strafprozess, RPS 113/1995 p. 294 ss, spéc. p. 312; GÉRARD PIQUEREZ, L'interdiction de la reformatio in pejus en procédure civile et en procédure pénale, in Mélanges Assista, Genève 1989, 495 ss, spéc. p. 515).</w:t>
      </w:r>
    </w:p>
    <w:p>
      <w:r>
        <w:rPr>
          <w:b/>
        </w:rPr>
        <w:t>E. 2.2</w:t>
      </w:r>
    </w:p>
    <w:p>
      <w:r>
        <w:t>La cour cantonale estime avoir disposé de faits nouveaux qui lui permettaient d'infliger au recourant une sanction plus lourde, en application de la deuxième phrase de l' art. 391 al. 2 CPP . Il s'agit d'une ordonnance pénale rendue le 15 juillet 2014 par laquelle le Ministère public du Nord vaudois a reconnu le recourant coupable de lésions corporelles, voies de fait et injures commises le 2 juin 2013 et l'a condamné à 120 jours-amende à 20 fr. ainsi qu'à une amende de 400 francs. L' art. 391 al. 2 CPP tend à tempérer l'interdiction de la reformatio in pejus, au motif qu'il "serait choquant que des faits, des documents ou des preuves dont on n'a eu connaissance qu'après le jugement du tribunal de première instance ne puissent pas être utilisés, y compris au détriment du prévenu" (Message du 21 décembre 2005 relatif à l'unification de la procédure pénale, FF 2006 1295 ad art. 399). La portée de cette disposition est peu claire (voir ZIEGLER/KELLER, in Basler Kommentar, Schweizerische Strafprozessordnung, 2 e éd. 2014, n° 5 ad art. 391 CPP ; NIKLAUS SCHMID, Schweizerische Strafprozessordnung [StPO], Praxiskommentar, 2 e éd. 2013, n° 6 ad art. 391 CPP ; MOREILLON/PAREIN-REYMOND, CPP, Code de procédure pénale, 2013, n° 13 ad art. 391 CPP ) et son application problématique (CALAME, op. cit., n° 10 ad art. 391 CPP ). Plusieurs auteurs considèrent que cette disposition se justifie par des motifs d'économie de procédure, afin d'éviter de devoir mettre en oeuvre une procédure de révision pour pouvoir prendre en considération des faits qui étaient déjà connus de l'autorité de recours. Ils en concluent qu'il faut, par analogie avec l' art. 410 al. 1 let. a CPP , ne retenir que les faits de nature à motiver une condamnation BGE 142 IV 89 S. 92 sensiblement plus sévère du condamné (voir ZIEGLER/KELLER, op. cit., n° 5 ad art. 391 CPP ; SCHMID, op. cit., n° 6 ad art. 391 CPP ; LIEBER, in Kommentar zur Schweizerischen Strafprozessordnung [StPO], Donatsch/Hansjakob/Lieber [éd.], 2 e éd. 2014, n° 20 ad art. 391 CPP et les références citées). Est également soutenue en doctrine l'opinion selon laquelle l'art. 391 al. 2, 2 e phrase, CPP ne saurait s'appliquer tel quel; en cas de découverte de faits nouveaux, c'est la procédure de révision qui doit être mise en oeuvre afin de garantir au justiciable à la fois son droit d'être entendu et son droit à un double degré de juridiction (PIQUEREZ/MACALUSO, Procédure pénale suisse, 3 e éd. 2011, p. 641 n. 1948). Un auteur fait une distinction entre d'une part les faits antérieurs au prononcé du jugement de première instance et qui concernent le complexe de faits jugés par celui-ci et, d'autre part, les faits sans lien avec ceux jugés par le tribunal de première instance ou postérieurs au prononcé de son jugement. Le premier cas constitue un motif de révision alors que le second commande que le ministère public dépose un acte d'accusation régulier, respectivement que l'autorité de juridiction suive la procédure adéquate avant de prononcer, le cas échéant, une sanction plus sévère (CALAME, op. cit., n° 10 ad art. 391 CPP ). D'autres auteurs relèvent que des faits nouveaux peuvent être pris en compte pour établir le pronostic quant au comportement futur du condamné; ainsi, l'autorité de recours pourra être amenée à poser un pronostic défavorable en raison de nouvelles infractions commises depuis le jugement de première instance (MARLÈNE KISTLER VIANIN, in Commentaire romand, Code de procédure pénale suisse, 2011, n° 5 ad art. 408 CPP ; JO PITTELOUD, Code de procédure pénale suisse [CPP], Commentaire à l'usage des praticiens, 2012, p. 774n. 1143; voir aussi HAUSER/SCHWERI/HARTMANN, Schweizerisches Strafprozessrecht, 6 e éd. 2005, p. 480 n. 12).</w:t>
      </w:r>
    </w:p>
    <w:p>
      <w:r>
        <w:rPr>
          <w:b/>
        </w:rPr>
        <w:t>E. 2.3</w:t>
      </w:r>
    </w:p>
    <w:p>
      <w:r>
        <w:t>Au regard de ce qui précède, en particulier du pronostic à poser quant au sursis, il convient d'admettre que la cour d'appel pouvait tenir compte de faits qui ne pouvaient pas être connus du tribunal de première instance. C'est donc sans violer le droit fédéral que la cour cantonale a pris en considération le fait nouveau que constituait la condamnation du 15 juillet 2014 du recourant, postérieure au jugement de première instance. Cet élément était susceptible d'aboutir à une nouvelle appréciation de la cour cantonale quant à la question du sursis partiel. Savoir si c'est à juste titre qu'elle a refusé le BGE 142 IV 89 S. 93 sursis partiel en vertu de cet élément nouveau relève de l'application de l' art. 43 CP et doit être examiné séparément (cf. consid. 3 non publié).</w:t>
      </w:r>
    </w:p>
    <w:p>
      <w:r>
        <w:rPr>
          <w:b/>
        </w:rPr>
        <w:t>E. 2.4</w:t>
      </w:r>
    </w:p>
    <w:p>
      <w:r>
        <w:t>Il y a lieu de noter enfin que certains auteurs relèvent que l'autorité qui entend modifier la décision attaquée au détriment du recourant doit respecter le droit d'être entendu de ce dernier (SCHMID, op. cit., n° 7a ad art. 391 CPP ; LIEBER, op. cit., n° 22 ad art. 391 CPP ), ce qui lui laisserait la possibilité de retirer son recours (ZIEGLER/KELLER, op. cit., n° 5 ad art. 391 CPP ). Le recourant ne se plaint toutefois pas d'une violation de son droit d'être entendu, de sorte que le Tribunal fédéral ne saurait entrer en matière sur ce point faute d'une motivation satisfaisant aux exigences de l' art. 106 al. 2 LTF . Au demeurant, la juridiction d'appel a attiré l'attention du recourant sur l' art. 391 al. 2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